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Times New Roman" w:eastAsia="黑体"/>
          <w:color w:val="000000"/>
          <w:lang w:eastAsia="zh-CN"/>
        </w:rPr>
      </w:pPr>
      <w:r>
        <w:rPr>
          <w:rFonts w:ascii="黑体" w:hAnsi="黑体" w:eastAsia="黑体"/>
          <w:color w:val="000000"/>
        </w:rPr>
        <w:t>附件</w:t>
      </w:r>
      <w:r>
        <w:rPr>
          <w:rFonts w:hint="eastAsia" w:ascii="Times New Roman" w:eastAsia="黑体"/>
          <w:color w:val="000000"/>
          <w:lang w:val="en-US" w:eastAsia="zh-CN"/>
        </w:rPr>
        <w:t>1：</w:t>
      </w:r>
      <w:bookmarkStart w:id="0" w:name="_GoBack"/>
      <w:bookmarkEnd w:id="0"/>
    </w:p>
    <w:p>
      <w:pPr>
        <w:adjustRightInd w:val="0"/>
        <w:snapToGrid w:val="0"/>
        <w:jc w:val="left"/>
        <w:rPr>
          <w:rFonts w:ascii="Times New Roman" w:eastAsia="黑体"/>
          <w:color w:val="000000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</w:rPr>
      </w:pPr>
      <w:r>
        <w:rPr>
          <w:rFonts w:hint="eastAsia" w:eastAsia="方正小标宋简体"/>
          <w:color w:val="000000"/>
          <w:kern w:val="36"/>
          <w:sz w:val="44"/>
          <w:szCs w:val="44"/>
        </w:rPr>
        <w:t>陕西</w:t>
      </w:r>
      <w:r>
        <w:rPr>
          <w:rFonts w:eastAsia="方正小标宋简体"/>
          <w:color w:val="000000"/>
          <w:kern w:val="36"/>
          <w:sz w:val="44"/>
          <w:szCs w:val="44"/>
        </w:rPr>
        <w:t>省学士学位授权专业审核标准</w:t>
      </w:r>
    </w:p>
    <w:tbl>
      <w:tblPr>
        <w:tblStyle w:val="4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7379" w:type="dxa"/>
            <w:vAlign w:val="center"/>
          </w:tcPr>
          <w:p>
            <w:pPr>
              <w:jc w:val="center"/>
              <w:rPr>
                <w:rFonts w:hint="eastAsia" w:asci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pacing w:val="-4"/>
                <w:sz w:val="24"/>
                <w:szCs w:val="24"/>
              </w:rPr>
              <w:t>专业定位</w:t>
            </w:r>
          </w:p>
        </w:tc>
        <w:tc>
          <w:tcPr>
            <w:tcW w:w="7379" w:type="dxa"/>
            <w:vAlign w:val="center"/>
          </w:tcPr>
          <w:p>
            <w:pPr>
              <w:pStyle w:val="2"/>
              <w:rPr>
                <w:rFonts w:hint="eastAsia" w:ascii="Times New Roman" w:cs="UMingHK"/>
                <w:sz w:val="24"/>
                <w:szCs w:val="24"/>
              </w:rPr>
            </w:pPr>
            <w:r>
              <w:rPr>
                <w:rFonts w:hint="eastAsia" w:ascii="Times New Roman" w:cs="UMingHK"/>
                <w:sz w:val="24"/>
                <w:szCs w:val="24"/>
              </w:rPr>
              <w:t>人才培养类型和目标明确，符合自身办学条件、学校特色和社会需求。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师资队伍</w:t>
            </w:r>
          </w:p>
        </w:tc>
        <w:tc>
          <w:tcPr>
            <w:tcW w:w="7379" w:type="dxa"/>
            <w:vAlign w:val="center"/>
          </w:tcPr>
          <w:p>
            <w:pPr>
              <w:pStyle w:val="2"/>
              <w:rPr>
                <w:rFonts w:hint="eastAsia" w:ascii="Times New Roman" w:cs="UMingHK"/>
                <w:sz w:val="24"/>
                <w:szCs w:val="24"/>
              </w:rPr>
            </w:pPr>
            <w:r>
              <w:rPr>
                <w:rFonts w:hint="eastAsia" w:ascii="Times New Roman" w:cs="UMingHK"/>
                <w:sz w:val="24"/>
                <w:szCs w:val="24"/>
              </w:rPr>
              <w:t>根据培养目标、培养规模、课程设置和授课时数等需要，建立数量充足、结构合理、素质优良的师资队伍；教师队伍的知识结构、学历结构、年龄结构、职称结构合理，有学术造诣较高的学科或专业带头人和数量适宜的骨干教师。专任教师队伍的学科背景应涵盖课程体系中所含知识领域、知识单元和知识点，博士学位专业教师达到一定的比例。具有完成专业人才培养方案所需的教学辅助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培养方案与课程设置</w:t>
            </w:r>
          </w:p>
        </w:tc>
        <w:tc>
          <w:tcPr>
            <w:tcW w:w="7379" w:type="dxa"/>
            <w:vAlign w:val="center"/>
          </w:tcPr>
          <w:p>
            <w:pPr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具有科学、规范的专业人才培养方案。课程设置合理，体现学校办学特色，依据学生知识、素质、能力的形成规律和学科的内在逻辑顺序，构建体现学科优势，能够满足学生未来多样化发展需要。培养方案和课程设置符合国家相关质量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教学条件</w:t>
            </w:r>
          </w:p>
        </w:tc>
        <w:tc>
          <w:tcPr>
            <w:tcW w:w="7379" w:type="dxa"/>
            <w:vAlign w:val="center"/>
          </w:tcPr>
          <w:p>
            <w:pPr>
              <w:pStyle w:val="2"/>
              <w:rPr>
                <w:rFonts w:hint="eastAsia" w:ascii="Times New Roman" w:cs="UMingHK"/>
                <w:sz w:val="24"/>
                <w:szCs w:val="24"/>
              </w:rPr>
            </w:pPr>
            <w:r>
              <w:rPr>
                <w:rFonts w:hint="eastAsia" w:ascii="Times New Roman" w:cs="UMingHK"/>
                <w:sz w:val="24"/>
                <w:szCs w:val="24"/>
              </w:rPr>
              <w:t>具有满足教学科研需要的用房，配备智慧化教学环境，各课程能保证基本实验实践条件，建立相应课程的专业实验室；建立各具特色的实践基地，满足相关专业人才培养需要；提供必要的图书资料（含电子图书和期刊）；教学经费投入满足人才培养需要，且应随着教育事业经费等的增长而稳步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教学规范</w:t>
            </w:r>
          </w:p>
        </w:tc>
        <w:tc>
          <w:tcPr>
            <w:tcW w:w="7379" w:type="dxa"/>
            <w:vAlign w:val="center"/>
          </w:tcPr>
          <w:p>
            <w:pPr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制定和实施教学过程和行为规范，内容包括教学大纲与教案撰写、教学方案运用、教材和教辅资料编写、案例采用、课程辅导、课程考试考核及教师在教学过程中的行为准则、纪律要求、教学态度、精神风貌要求等方面的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质量保障</w:t>
            </w:r>
          </w:p>
        </w:tc>
        <w:tc>
          <w:tcPr>
            <w:tcW w:w="7379" w:type="dxa"/>
            <w:vAlign w:val="center"/>
          </w:tcPr>
          <w:p>
            <w:pPr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制定涵盖国家质量标准内容的科学合理的质量评估指标体系，确定系统完整的质量评估流程、规章制度和实施规范，建立质量评估、评估信息反馈、质量究责和调控改进机制，开展制度化的质量评估。</w:t>
            </w:r>
          </w:p>
        </w:tc>
      </w:tr>
    </w:tbl>
    <w:p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>备注：相关条件应符合</w:t>
      </w:r>
      <w:r>
        <w:rPr>
          <w:rFonts w:hint="eastAsia"/>
          <w:sz w:val="24"/>
          <w:szCs w:val="24"/>
        </w:rPr>
        <w:t>教育部</w:t>
      </w:r>
      <w:r>
        <w:rPr>
          <w:sz w:val="24"/>
          <w:szCs w:val="24"/>
        </w:rPr>
        <w:t>《普通高等学校本科专业类教学质量国家标准》。</w:t>
      </w:r>
    </w:p>
    <w:p>
      <w:pPr>
        <w:spacing w:line="580" w:lineRule="exact"/>
        <w:jc w:val="left"/>
        <w:rPr>
          <w:rFonts w:eastAsia="仿宋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UMingH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4F2"/>
    <w:rsid w:val="00125857"/>
    <w:rsid w:val="006B2BA5"/>
    <w:rsid w:val="006D24F2"/>
    <w:rsid w:val="009D4DF1"/>
    <w:rsid w:val="0C02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宋体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customStyle="1" w:styleId="5">
    <w:name w:val="Char"/>
    <w:basedOn w:val="1"/>
    <w:next w:val="1"/>
    <w:qFormat/>
    <w:uiPriority w:val="0"/>
    <w:rPr>
      <w:rFonts w:ascii="Tahoma" w:hAnsi="Tahoma"/>
      <w:sz w:val="24"/>
      <w:szCs w:val="20"/>
    </w:rPr>
  </w:style>
  <w:style w:type="character" w:customStyle="1" w:styleId="6">
    <w:name w:val="批注框文本 Char"/>
    <w:basedOn w:val="3"/>
    <w:link w:val="2"/>
    <w:uiPriority w:val="99"/>
    <w:rPr>
      <w:rFonts w:ascii="仿宋_GB2312" w:hAnsi="Times New Roman" w:eastAsia="宋体" w:cs="Times New Roman"/>
      <w:spacing w:val="-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2021-03-03T01:57:00Z</dcterms:created>
  <dc:creator>微软中国</dc:creator>
  <cp:lastModifiedBy>马毅</cp:lastModifiedBy>
  <dcterms:modified xsi:type="dcterms:W3CDTF">2021-10-20T03:20:21Z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